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мая 2013 г. N 28375</w:t>
      </w:r>
    </w:p>
    <w:p w:rsidR="00CD1307" w:rsidRDefault="00CD13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ТЕХНИЧЕСКОМУ И ЭКСПОРТНОМУ КОНТРОЛЮ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февраля 2013 г. N 21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СОСТАВА И СОДЕРЖАНИЯ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ОРГАНИЗАЦИОННЫХ И ТЕХНИЧЕСКИХ МЕР ПО ОБЕСПЕЧЕНИЮ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БЕЗОПАСНОСТИ ПЕРСОНАЛЬНЫХ ДАННЫХ ПРИ ИХ ОБРАБОТКЕ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4 статьи 19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rPr>
          <w:rFonts w:ascii="Calibri" w:hAnsi="Calibri" w:cs="Calibri"/>
        </w:rPr>
        <w:t xml:space="preserve"> 2011, N 23, ст. 3263; N 31, ст. 4701) и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Федеральной службе по техническому и экспортному контролю, утвержденным Указом Президента Российской Федерации от 16 августа 2004 г. N 1085 (Собрание законодательства Российской Федерации, 2004, N 34, ст. 3541; 2006, N 49, ст. 5192; 2008, N 43, ст. 4921; </w:t>
      </w:r>
      <w:proofErr w:type="gramStart"/>
      <w:r>
        <w:rPr>
          <w:rFonts w:ascii="Calibri" w:hAnsi="Calibri" w:cs="Calibri"/>
        </w:rPr>
        <w:t>N 47, ст. 5431; 2012, N 7, ст. 818), приказываю: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Состав и содержание</w:t>
        </w:r>
      </w:hyperlink>
      <w:r>
        <w:rPr>
          <w:rFonts w:ascii="Calibri" w:hAnsi="Calibri" w:cs="Calibri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ФСТЭК России от 5 февраля 2010 г. N 58 "Об утверждении Положения о методах и способах защиты информации в информационных системах персональных данных" (зарегистрирован Минюстом России 19 февраля 2010 г., регистрационный N 16456).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Федеральной службы по </w:t>
      </w:r>
      <w:proofErr w:type="gramStart"/>
      <w:r>
        <w:rPr>
          <w:rFonts w:ascii="Calibri" w:hAnsi="Calibri" w:cs="Calibri"/>
        </w:rPr>
        <w:t>техническому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экспортному контролю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В.СЕЛИН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ФСТЭК России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февраля 2013 г. N 21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1"/>
      <w:bookmarkEnd w:id="1"/>
      <w:r>
        <w:rPr>
          <w:rFonts w:ascii="Calibri" w:hAnsi="Calibri" w:cs="Calibri"/>
          <w:b/>
          <w:bCs/>
        </w:rPr>
        <w:t>СОСТАВ И СОДЕРЖАНИЕ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ОРГАНИЗАЦИОННЫХ И ТЕХНИЧЕСКИХ МЕР ПО ОБЕСПЕЧЕНИЮ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БЕЗОПАСНОСТИ ПЕРСОНАЛЬНЫХ ДАННЫХ ПРИ ИХ ОБРАБОТКЕ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документ разработан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4 статьи 19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</w:t>
      </w:r>
      <w:proofErr w:type="gramEnd"/>
      <w:r>
        <w:rPr>
          <w:rFonts w:ascii="Calibri" w:hAnsi="Calibri" w:cs="Calibri"/>
        </w:rPr>
        <w:t xml:space="preserve"> N 49, ст. 6409; 2011, N 23, ст. 3263; </w:t>
      </w:r>
      <w:proofErr w:type="gramStart"/>
      <w:r>
        <w:rPr>
          <w:rFonts w:ascii="Calibri" w:hAnsi="Calibri" w:cs="Calibri"/>
        </w:rPr>
        <w:t xml:space="preserve">N 31, ст. 4701) и устанавливает состав и содержание организационных и технических мер по обеспечению безопасности персональных </w:t>
      </w:r>
      <w:r>
        <w:rPr>
          <w:rFonts w:ascii="Calibri" w:hAnsi="Calibri" w:cs="Calibri"/>
        </w:rPr>
        <w:lastRenderedPageBreak/>
        <w:t xml:space="preserve">данных при их обработке в информационных системах персональных данных (далее - меры по обеспечению безопасности персональных данных) для каждого из уровней защищенности персональных данных, установленных в </w:t>
      </w:r>
      <w:hyperlink r:id="rId9" w:history="1">
        <w:r>
          <w:rPr>
            <w:rFonts w:ascii="Calibri" w:hAnsi="Calibri" w:cs="Calibri"/>
            <w:color w:val="0000FF"/>
          </w:rPr>
          <w:t>Требованиях</w:t>
        </w:r>
      </w:hyperlink>
      <w:r>
        <w:rPr>
          <w:rFonts w:ascii="Calibri" w:hAnsi="Calibri" w:cs="Calibri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</w:t>
      </w:r>
      <w:proofErr w:type="gramEnd"/>
      <w:r>
        <w:rPr>
          <w:rFonts w:ascii="Calibri" w:hAnsi="Calibri" w:cs="Calibri"/>
        </w:rPr>
        <w:t xml:space="preserve"> от 1 ноября 2012 г. N 1119 (Собрание законодательства Российской Федерации, 2012, N 45, ст. 6257).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по обеспечению безопасности персональных данных принимаются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документе не рассматриваются вопросы обеспечения безопасности персональных данных, отнесенных в установленном порядке к сведениям, составляющим государственную тайну, а также меры, связанные с применением шифровальных (криптографических) средств защиты информации.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Безопасность персональных данных при их обработке в информационной системе персональных данных (далее - информационная система) обеспечивает оператор или лицо, осуществляющее обработку персональных данных по поручению оператора в соответствии с законодательством Российской Федерации.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работ по обеспечению безопасности персональных данных при их обработке в информационной системе в соответствии с законодательством Российской Федерации могут привлекаться на договорной основе юридическое лицо или индивидуальный предприниматель, имеющие лицензию на деятельность по технической защите конфиденциальной информации.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Меры по обеспечению безопасности персональных данных реализуются в рамках системы защиты персональных данных, создаваемой в соответствии с </w:t>
      </w:r>
      <w:hyperlink r:id="rId1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1119, и должны быть направлены на нейтрализацию актуальных угроз безопасности персональных данных.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Меры по обеспечению безопасности персональных данных </w:t>
      </w:r>
      <w:proofErr w:type="gramStart"/>
      <w:r>
        <w:rPr>
          <w:rFonts w:ascii="Calibri" w:hAnsi="Calibri" w:cs="Calibri"/>
        </w:rPr>
        <w:t>реализуются</w:t>
      </w:r>
      <w:proofErr w:type="gramEnd"/>
      <w:r>
        <w:rPr>
          <w:rFonts w:ascii="Calibri" w:hAnsi="Calibri" w:cs="Calibri"/>
        </w:rPr>
        <w:t xml:space="preserve"> в том числе посредством применения в информационной системе средств защиты информации, прошедших в установленном порядке процедуру оценки соответствия, в случаях, когда применение таких средств необходимо для нейтрализации актуальных угроз безопасности персональных данных.</w:t>
      </w:r>
    </w:p>
    <w:p w:rsidR="00CD1307" w:rsidRDefault="00CD13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CD1307" w:rsidRDefault="00CD13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Указанная оценка проводится не реже одного раза в 3 года.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информации, содержащейся в государственных информационных системах, устанавливаемыми ФСТЭК России в пределах своих полномочий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5 статьи 16</w:t>
        </w:r>
      </w:hyperlink>
      <w:r>
        <w:rPr>
          <w:rFonts w:ascii="Calibri" w:hAnsi="Calibri" w:cs="Calibri"/>
        </w:rP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2006, N 31, ст. 3448; 2010, N 31, ст. 4196; 2011, N 15, ст. 2038; N 30, ст. 4600; 2012, N 31, ст. 4328).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Состав и содержание мер по обеспечению безопасности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персональных данных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5"/>
      <w:bookmarkEnd w:id="2"/>
      <w:r>
        <w:rPr>
          <w:rFonts w:ascii="Calibri" w:hAnsi="Calibri" w:cs="Calibri"/>
        </w:rPr>
        <w:t xml:space="preserve">8. 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</w:t>
      </w:r>
      <w:r>
        <w:rPr>
          <w:rFonts w:ascii="Calibri" w:hAnsi="Calibri" w:cs="Calibri"/>
        </w:rPr>
        <w:lastRenderedPageBreak/>
        <w:t>данных и применяемых информационных технологий, входят: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идентификация и аутентификация субъектов доступа и объектов доступа;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доступом субъектов доступа к объектам доступа;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программной среды;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машинных носителей информации, на которых хранятся и (или) обрабатываются персональные данные (далее - машинные носители персональных данных);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событий безопасности;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антивирусная защита;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обнаружение (предотвращение) вторжений;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(анализ) защищенности персональных данных;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целостности информационной системы и персональных данных;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персональных данных;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среды виртуализации;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технических средств;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информационной системы, ее средств, систем связи и передачи данных;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- инциденты), и реагирование на них;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конфигурацией информационной системы и системы защиты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и содержание мер по обеспечению безопасности персональных данных, необходимых для обеспечения каждого из уровней защищенности персональных данных, приведены в </w:t>
      </w:r>
      <w:hyperlink w:anchor="Par12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документу.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Меры по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 субъектов доступа и объектов доступа должны обеспечивать присвоение субъектам и объектам доступа уникального признака (идентификатора), сравнение предъявляемого субъектом (объектом) доступа идентификатора с перечнем присвоенных идентификаторов, а также проверку принадлежности субъекту (объекту) доступа предъявленного им идентификатора (подтверждение подлинности).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Меры по управлению доступом субъектов доступа к объектам доступа должны обеспечивать управление правами и привилегиями субъектов доступа,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 а также обеспечивать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этих правил.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Меры по ограничению программной среды должны обеспечивать установку и (или) запуск только разрешенного к использованию в информационной системе программного обеспечения или исключать возможность установки и (или) запуска запрещенного к использованию в информационной системе программного обеспечения.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Меры по защите машинных носителей персональных данных (средств обработки (хранения) персональных данных, съемных машинных носителей персональных данных) должны исключать возможность несанкционированного доступа к машинным носителям и хранящимся на них персональным данным, а также несанкционированное использование съемных машинных носителей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Меры по регистрации событий безопасности должны обеспечивать сбор, запись, хранение и защиту информации о событиях безопасности в информационной системе, а также возможность просмотра и анализа информации о таких событиях и реагирование на них.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Меры 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реагирование на обнаружение этих программ и информации.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Меры по обнаружению (предотвращению) вторжений должны обеспечивать обнаружение действий в информационной системе, направленных на несанкционированный доступ к информации, специальные воздействия на информационную систему и (или) персональные данные в целях добывания, уничтожения, искажения и блокирования доступа к </w:t>
      </w:r>
      <w:r>
        <w:rPr>
          <w:rFonts w:ascii="Calibri" w:hAnsi="Calibri" w:cs="Calibri"/>
        </w:rPr>
        <w:lastRenderedPageBreak/>
        <w:t>персональным данным, а также реагирование на эти действия.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Меры по контролю (анализу) защищенности персональных данных должны обеспечивать контроль уровня защищенности персональных данных, обрабатываемых в информационной системе,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данных, а также возможность восстановления информационной системы и содержащихся в ней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8.10. Меры по обеспечению доступности персональных данных должны обеспечивать авторизованный доступ пользователей, имеющих права по доступу, к персональным данным, содержащимся в информационной системе, в штатном режиме функционирования информационной системы.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8.11. </w:t>
      </w:r>
      <w:proofErr w:type="gramStart"/>
      <w:r>
        <w:rPr>
          <w:rFonts w:ascii="Calibri" w:hAnsi="Calibri" w:cs="Calibri"/>
        </w:rPr>
        <w:t>Меры по защите среды виртуализации должны исключать несанкционированный доступ к персональным данным, обрабатываемым в виртуальной инфраструктуре, и к компонентам виртуальной инфраструктуры и (или) воздействие на них, в том числе к средствам управления виртуальной инфраструктурой, монитору виртуальных машин (гипервизору), системе хранения данных (включая систему хранения образов виртуальной инфраструктуры), сети передачи данных через элементы виртуальной или физической инфраструктуры, гостевым операционным системам, виртуальным</w:t>
      </w:r>
      <w:proofErr w:type="gramEnd"/>
      <w:r>
        <w:rPr>
          <w:rFonts w:ascii="Calibri" w:hAnsi="Calibri" w:cs="Calibri"/>
        </w:rPr>
        <w:t xml:space="preserve"> машинам (контейнерам), системе и сети репликации, терминальным и виртуальным устройствам, а также системе резервного копирования и создаваемым ею копиям.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8.12. </w:t>
      </w:r>
      <w:proofErr w:type="gramStart"/>
      <w:r>
        <w:rPr>
          <w:rFonts w:ascii="Calibri" w:hAnsi="Calibri" w:cs="Calibri"/>
        </w:rPr>
        <w:t>Меры по защите технических средств должны исключать несанкционированный доступ к стационарным техническим средствам, обрабатывающим персональные данные, средствам, обеспечивающим функционирование информационной системы (далее - средства обеспечения функционирования), и в помещения, в которых они постоянно расположены, защиту технических средств от внешних воздействий, а также защиту персональных данных, представленных в виде информативных электрических сигналов и физических полей.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8.13. Меры по защите информационной системы, ее средств,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информационно-телекоммуникационными сетями посредством применения архитектуры информационной системы и проектных решений, направленных на обеспечение безопасности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8.14. Меры по выявлению инцидентов и реагированию на них должны обеспечивать обнаружение, идентификацию, анализ инцидентов в информационной системе, а также принятие мер по устранению и предупреждению инцидентов.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8.15.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данных, анализ потенциального воздействия планируемых изменений на обеспечение безопасности персональных данных, а также документирование этих изменений.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Выбор мер по обеспечению безопасности персональных данных, подлежащих реализации в информационной системе в рамках системы защиты персональных данных, включает: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базового набора мер 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 безопасности персональных данных, приведенными в </w:t>
      </w:r>
      <w:hyperlink w:anchor="Par12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документу;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адаптацию базового набора мер по обеспечению безопасности персональных данных с учетом структурно-функциональных характеристик информационной системы, информационных технологий, особенностей функционирования информационной системы (в том числе исключение из базового набора мер, непосредственно связанных с информационными технологиями, не </w:t>
      </w:r>
      <w:r>
        <w:rPr>
          <w:rFonts w:ascii="Calibri" w:hAnsi="Calibri" w:cs="Calibri"/>
        </w:rPr>
        <w:lastRenderedPageBreak/>
        <w:t>используемыми в информационной системе, или структурно-функциональными характеристиками, не свойственными информационной системе);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уточнение адаптированного базового набора мер по обеспечению безопасности персональных данных с учетом не выбранных ранее мер, приведенных в </w:t>
      </w:r>
      <w:hyperlink w:anchor="Par12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документу, в результате чего определяются меры по обеспечению безопасности персональных данных, направленные на нейтрализацию всех актуальных угроз безопасности персональных данных для конкретной информационной системы;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дополнение уточненного адаптированного базового набора мер по обеспечению безопасности персональных данных мерами, обеспечивающими выполнение требований к защите персональных данных, установленными иными нормативными правовыми актами в области обеспечения безопасности персональных данных и защиты информации.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2"/>
      <w:bookmarkEnd w:id="3"/>
      <w:r>
        <w:rPr>
          <w:rFonts w:ascii="Calibri" w:hAnsi="Calibri" w:cs="Calibri"/>
        </w:rPr>
        <w:t>10. При невозможности технической реализации отдельных выбранных мер по обеспечению безопасности персональных данных, а также с учетом экономической целесообразности на этапах адаптации базового набора мер и (или) уточнения адаптированного базового набора мер могут разрабатываться иные (компенсирующие) меры, направленные на нейтрализацию актуальных угроз безопасности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В случае определения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защите персональных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1119, в качестве актуальных угроз безопасности персональных данных 1-го и 2-го типов дополнительно к мерам по обеспечению безопасности персональных данных, указанным в </w:t>
      </w:r>
      <w:hyperlink w:anchor="Par5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документа, могут применяться следующие меры: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системного и (или) прикладного программного обеспечения, включая программный код, на отсутствие 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 xml:space="preserve"> возможностей с использованием автоматизированных средств и (или) без использования таковых;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тестирование информационной системы на проникновения;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 информационной системе системного и (или) прикладного программного обеспечения, разработанного с использованием методов защищенного программирования.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использовании в информационных системах сертифицированных по требованиям </w:t>
      </w:r>
      <w:proofErr w:type="gramStart"/>
      <w:r>
        <w:rPr>
          <w:rFonts w:ascii="Calibri" w:hAnsi="Calibri" w:cs="Calibri"/>
        </w:rPr>
        <w:t>безопасности информации средств защиты информации</w:t>
      </w:r>
      <w:proofErr w:type="gramEnd"/>
      <w:r>
        <w:rPr>
          <w:rFonts w:ascii="Calibri" w:hAnsi="Calibri" w:cs="Calibri"/>
        </w:rPr>
        <w:t>: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обеспечения 1 и 2 уровней защищенности персональных данных применяются: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вычислительной техники не ниже 5 класса;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обнаружения вторжений и средства антивирусной защиты не ниже 4 класса;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межсетевые экраны не ниже 3 класса в случае актуальности угроз 1-го или 2-го типов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обеспечения 3 уровня защищенности персональных данных применяются: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вычислительной техники не ниже 5 класса;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системы обнаружения вторжений и средства антивирусной защиты не ниже 4 класса защиты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системы обнаружения вторжений и средства антивирусной защиты не ниже 5 класса защиты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межсетевые экраны не ниже 3 класса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для обеспечения 4 уровня защищенности персональных данных применяются: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вычислительной техники не ниже 6 класса;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обнаружения вторжений и средства антивирусной защиты не ниже 5 класса;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межсетевые экраны 5 класса.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1 и 2 уровней защищенности персональных данных, а также для обеспечения 3 уровня защищенности персональных данных в информационных системах, для которых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актуальным</w:t>
      </w:r>
      <w:proofErr w:type="gramEnd"/>
      <w:r>
        <w:rPr>
          <w:rFonts w:ascii="Calibri" w:hAnsi="Calibri" w:cs="Calibri"/>
        </w:rPr>
        <w:t xml:space="preserve"> отнесены угрозы 2-го типа, применяются средства защиты информации, программное обеспечение которых прошло проверку не ниже чем по 4 уровню контроля отсутствия 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 xml:space="preserve"> возможностей.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использовании в информационных системах новых информационных технологий и выявлении дополнительных угроз безопасности персональных данных, для которых не определены меры обеспечения их безопасности, должны разрабатываться компенсирующие меры в соответствии с </w:t>
      </w:r>
      <w:hyperlink w:anchor="Par92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Составу и содержанию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организационных и технических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мер по обеспечению безопасности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персональных данных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 xml:space="preserve"> их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обработке в </w:t>
      </w:r>
      <w:proofErr w:type="gramStart"/>
      <w:r>
        <w:rPr>
          <w:rFonts w:ascii="Calibri" w:hAnsi="Calibri" w:cs="Calibri"/>
        </w:rPr>
        <w:t>информационных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системах</w:t>
      </w:r>
      <w:proofErr w:type="gramEnd"/>
      <w:r>
        <w:rPr>
          <w:rFonts w:ascii="Calibri" w:hAnsi="Calibri" w:cs="Calibri"/>
        </w:rPr>
        <w:t xml:space="preserve"> персональных данных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26"/>
      <w:bookmarkEnd w:id="4"/>
      <w:r>
        <w:rPr>
          <w:rFonts w:ascii="Calibri" w:hAnsi="Calibri" w:cs="Calibri"/>
        </w:rPr>
        <w:t>СОСТАВ И СОДЕРЖАНИЕ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 ПО ОБЕСПЕЧЕНИЮ БЕЗОПАСНОСТИ ПЕРСОНАЛЬНЫХ ДАННЫХ,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 ДЛЯ ОБЕСПЕЧЕНИЯ КАЖДОГО ИЗ УРОВНЕЙ</w:t>
      </w:r>
      <w:proofErr w:type="gramEnd"/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ЗАЩИЩЕННОСТИ ПЕРСОНАЛЬНЫХ ДАННЫХ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8"/>
        <w:gridCol w:w="5184"/>
        <w:gridCol w:w="576"/>
        <w:gridCol w:w="672"/>
        <w:gridCol w:w="576"/>
        <w:gridCol w:w="576"/>
      </w:tblGrid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Условное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обозначение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номер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меры    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Содержание мер по обеспечению безопасности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персональных данных                 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Уровни защищенности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персональных данных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I. Идентификация и аутентификация субъектов доступа и объектов доступа (ИАФ)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 и   аутентификация   пользователей,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являющихся работниками оператора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и аутентификация  устройств,  в  том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стационарных, мобильных и портативных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идентификаторами, в том числе создание,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присвоение, уничтожение идентификаторов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средствами аутентификации, в том  числе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хранение,   выдача,   инициализация,    блокирование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  аутентификации  и  принятие  мер  в  случае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утраты и (или) компрометации средств аутентификации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обратной связи при вводе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аутентификационной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и аутентификация  пользователей,  не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являющихся    работниками     оператора     (внешних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пользователей)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II. Управление доступом субъектов доступа к объектам доступа (УПД)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(заведение, активация,  блокирование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уничтожение) учетными записями пользователей, в  том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внешних пользователей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Реализация  необходимых  методов   (дискреционный,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мандатный, ролевой или иной метод),  типов  (чтение,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запись,  выполнение   или   иной   тип)   и   правил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разграничения доступа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(фильтрация,  маршрутизация,  контроль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соединений, однонаправленная передача и иные способы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управления)    информационными    потоками     между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устройствами, сегментами информационной  системы,  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также между информационными системами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УПД.4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Разделение   полномочий   (ролей)   пользователей,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администраторов      и      лиц,      обеспечивающих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функционирование информационной системы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Назначение   минимально   необходимых    прав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привилегий пользователям, администраторам  и  лицам,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обеспечивающим    функционирование  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системы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Ограничение    неуспешных    попыток    входа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информационную  систему  (доступа  к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системе)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Предупреждение  пользователя  при  его   входе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информационную систему о том, что  в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системе реализованы меры по обеспечению безопасности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персональных данных, и  о  необходимости  соблюдения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установленных    оператором     правил     обработки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персональных данных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УПД.8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Оповещение пользователя после  успешного  входа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информационную систему  о  его  предыдущем  входе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информационную систему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УПД.9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Ограничение числа параллельных сеансов доступа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каждой учетной  записи  пользователя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системы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УПД.10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Блокирование  сеанса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доступа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в   информационную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систему  после  установленного  времени  бездействия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(неактивности) пользователя или по его запросу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Разрешение   (запрет)   действий    пользователей,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разрешенных до идентификац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ии и ау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тентификации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Поддержка  и  сохранение  атрибутов   безопасности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(меток  безопасности),  связанных  с  информацией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процессе ее хранения и обработки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Реализация защищенного удаленного доступа субъектов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доступа   к   объектам   доступа    через    внешние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информационно-телекоммуникационные сети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Регламентация   и   контроль    использования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информационной  системе   технологий   беспроводного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доступа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Регламентация   и   контроль    использования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информационной системе мобильных технических средств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 взаимодействием   с   информационными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системами     сторонних     организаций     (внешние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информационные системы)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 доверенной     загрузки     средств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вычислительной техники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III. Ограничение программной среды (ОПС) 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запуском   (обращениями)   компонентов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программного обеспечения, в  том  числе  определение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запускаемых   компонентов,   настройка    параметров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запуска   компонентов,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контроль    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запуском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компонентов программного обеспечения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установкой  (инсталляцией)  компонентов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программного обеспечения, в  том  числе  определение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компонентов,   подлежащих    установке,    настройка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параметров  установки   компонентов,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контроль   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установкой компонентов программного обеспечения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Установка  (инсталляция)  только  разрешенного   к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использованию программного обеспечения и  (или)  его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компонентов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временными файлами, в том числе запрет,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разрешение,   перенаправление    записи,    удаление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временных файлов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IV. Защита машинных носителей персональных данных (ЗНИ)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Учет машинных носителей персональных данных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 доступом   к    машинным    носителям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персональных данных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перемещения     машинных     носителей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персональных данных за пределы контролируемой зоны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Исключение    возможности     несанкционированного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ознакомления  с  содержанием  персональных   данных,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хранящихся   на   машинных   носителях,   и   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использования носителей персональных данных  в  иных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информационных системах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использования интерфейсов ввода  (вывода)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 на машинные носители персональных данных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ввода  (вывода)  информации  на  машинные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носители персональных данных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подключения     машинных     носителей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персональных данных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ЗНИ.8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Уничтожение    (стирание)    или     обезличивание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персональных данных на  машинных  носителях  при  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передаче   между   пользователями,    в    сторонние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организации для  ремонта  или  утилизации,  а  также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контроль уничтожения (стирания) или обезличивания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V. Регистрация событий безопасности (РСБ)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  событий   безопасности,   подлежащих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регистрации, и сроков их хранения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 состава  и  содержания  информации 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событиях безопасности, подлежащих регистрации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Сбор, запись  и  хранение  информации  о  событиях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безопасности  в   течение   установленного   времени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хранения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Реагирование  на  сбои  при  регистрации   событий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безопасности, в том числе аппаратные  и  программные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ошибки,  сбои  в  механизмах  сбора   информации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достижение предела или переполнения объема (емкости)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памяти 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Мониторинг    (просмотр,    анализ)    результатов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регистрации событий безопасности и  реагирование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них    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Генерирование    временных    меток    и    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синхронизация системного  времени  в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системе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информации о событиях безопасности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VI. Антивирусная защита (АВЗ)      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АВЗ.1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Реализация антивирусной защиты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АВЗ.2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Обновление  базы  данных   признаков   вредоносных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компьютерных программ (вирусов)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VII. Обнаружение вторжений (СОВ)     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СОВ.1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Обнаружение вторжений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СОВ.2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Обновление базы решающих правил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VIII. Контроль (анализ) защищенности персональных данных (АНЗ)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Выявление,   анализ   уязвимостей 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системы и оперативное  устранение  вновь  выявленных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уязвимостей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установки    обновлений    программного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обеспечения,   включая    обновление    программного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обеспечения средств защиты информации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работоспособности, параметров настройки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правильности      функционирования      программного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обеспечения и средств защиты информации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состава технических средств, программного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обеспечения и средств защиты информации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правил   генерации   и   смены   паролей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пользователей, заведения и удаления учетных  записей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пользователей,   реализации   правил   разграничения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доступа, полномочий пользователей  в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системе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IX. Обеспечение целостности информационной системы и персональных данных (ОЦЛ)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целостности  программного   обеспечения,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включая  программное  обеспечение   средств   защиты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целостности    персональных    данных,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содержащихся в базах данных информационной системы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    возможности       восстановления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программного   обеспечения,   включая    программное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обеспечение   средств   защиты    информации,    при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возникновении нештатных ситуаций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Обнаружение  и  реагирование  на   поступление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информационную систему  незапрашиваемых  электронных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сообщений (писем, документов) и иной информации,  не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относящихся   к   функционированию  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системы (защита от спама)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содержания информации,  передаваемой   из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информационной системы (контейнерный, основанный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свойствах  объекта  доступа,  и  (или)   контентный,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основанный  на   поиске   запрещенной   к   передаче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информации с использованием сигнатур, масок  и  иных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методов),  и   исключение   неправомерной   передачи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 из информационной системы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Ограничение прав пользователей по вводу информации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информационную систему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точности, полноты и правильности  данных,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вводимых в информационную систему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ОЦЛ.8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ошибочных действий пользователей по вводу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  (или)    передаче    персональных    данных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предупреждение пользователей об ошибочных действиях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X. Обеспечение доступности персональных данных (ОДТ)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Использование отказоустойчивых технических средств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Резервирование технических  средств,  программного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обеспечения, каналов  передачи  информации,  средств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обеспечения функционирования информационной системы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безотказного функционирования технических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средств,   обнаружение   и    локализация    отказов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функционирования,  принятие  мер  по  восстановлению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отказавших средств и их тестирование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Периодическое резервное  копирование  персональных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данных на резервные машинные  носители  персональных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данных 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    возможности       восстановления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персональных данных с резервных  машинных  носителей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персональных  данных  (резервных  копий)  в  течение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установленного временного интервала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XI. Защита среды виртуализации (ЗСВ)   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и аутентификация субъектов доступа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объектов доступа в виртуальной инфраструктуре, в том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числе    администраторов    управления    средствами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виртуализации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доступом субъектов доступа  к  объектам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доступа в виртуальной инфраструктуре,  в  том  числе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внутри виртуальных машин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Регистрация  событий  безопасности  в  виртуальной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инфраструктуре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(фильтрация,  маршрутизация,  контроль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соединения,  однонаправленная   передача)   потоками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информации    между     компонентами     виртуальной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инфраструктуры, а  также  по  периметру  виртуальной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инфраструктуры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Доверенная   загрузка   серверов    виртуализации,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виртуальной машины (контейнера), серверов управления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виртуализацией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Управление    перемещением     виртуальных     машин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(контейнеров) и обрабатываемых на них данных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целостности виртуальной инфраструктуры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ее конфигураций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ЗСВ.8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Резервное   копирование   данных,   резервирование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технических   средств,   программного    обеспечения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виртуальной инфраструктуры, а  также  каналов  связи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внутри виртуальной инфраструктуры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ЗСВ.9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Реализация и  управление  антивирусной  защитой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виртуальной инфраструктуре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ЗСВ.10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Разбиение виртуальной инфраструктуры  на  сегменты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(сегментирование  виртуальной  инфраструктуры)  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обработки     персональных     данных      отдельным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пользователем и (или) группой пользователей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XII. Защита технических средств (ЗТС)  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информации,  обрабатываемой   техническими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средствами, от ее утечки по техническим каналам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Организация  контролируемой   зоны,   в   пределах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которой    постоянно    размещаются     стационарные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технические средства, обрабатывающие  информацию,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средства  защиты  информации,   а   также   средства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обеспечения функционирования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и  управление  физическим   доступом   к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техническим средствам, средствам защиты  информации,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средствам обеспечения функционирования,  а  также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помещения и сооружения, в которых  они  установлены,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исключающие несанкционированный физический доступ  к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средствам  обработки  информации,  средствам  защиты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информации и средствам обеспечения  функционирования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информационной системы, в помещения и сооружения,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которых они установлены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Размещение    устройств    вывода    (отображения)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информации,   исключающее   ее   несанкционированный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просмотр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 от   внешних   воздействий   (воздействий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окружающей среды,  нестабильности  электроснабжения,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кондиционирования и иных внешних факторов)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XIII. Защита информационной системы, ее средств,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    систем связи и передачи данных (3ИС)   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Разделение в  информационной  системе  функций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управлению    (администрированию)   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системой,  управлению  (администрированию)  системой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защиты персональных  данных,  функций  по  обработке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персональных данных и  иных  функций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системы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ЗИС.2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Предотвращение задержки или прерывания  выполнения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процессов с высоким приоритетом со стороны процессов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низким приоритетом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защиты   персональных   данных    от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раскрытия, модификации и навязывания  (ввода  ложной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информации) при ее передаче (подготовке к  передаче)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 каналам  связи,   имеющим   выход   за   пределы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контролируемой  зоны,  в  том   числе   беспроводным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каналам связи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доверенных  канала,  маршрута   между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администратором, пользователем и  средствами  защиты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информации (функциями  безопасности  средств  защиты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информации)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Запрет  несанкционированной  удаленной   активации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видеокамер,   микрофонов   и    иных    периферийных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устройств, которые могут активироваться удаленно,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оповещение   пользователей   об   активации    таких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устройств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Передача   и   контроль   целостности    атрибутов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безопасности  (меток  безопасности),   связанных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персональными  данными,  при  обмене  ими  с   иными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информационными системами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санкционированного    и     исключение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несанкционированного    использования     технологий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мобильного кода, в том  числе  регистрация  событий,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связанных  с  использованием  технологий  мобильного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кода,  их  анализ  и  реагирование   на   нарушения,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связанные  с  использованием  технологий  мобильного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кода      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ЗИС.8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санкционированного    и     исключение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несанкционированного    использования     технологий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передачи речи,  в  том  числе  регистрация  событий,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связанных с использованием технологий передачи речи,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их анализ и реагирование на нарушения,  связанные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использованием технологий передачи речи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ЗИС.9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санкционированной     и     исключение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несанкционированной передачи видеоинформации, в  том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числе регистрация  событий,  связанных  с  передачей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видеоинформации,  их  анализ   и   реагирование 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нарушения, связанные с передачей видеоинформации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ЗИС.10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Подтверждение происхождения источника  информации,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получаемой в процессе определения сетевых адресов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сетевым  именам  или  определения  сетевых  имен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сетевым адресам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Обеспечение подлинности сетевых соединений  (сеансов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взаимодействия), в том числе для защиты  от  подмены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сетевых устройств и сервисов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Исключение  возможности  отрицания   пользователем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факта   отправки   персональных    данных    другому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пользователю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Исключение  возможности  отрицания   пользователем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факта  получения  персональных  данных  от   другого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пользователя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Использование устройств терминального доступа 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обработки персональных данных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архивных  файлов,   параметров   настройки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средств защиты информации и программного обеспечения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иных данных, не подлежащих  изменению  в  процессе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обработки персональных данных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Выявление, анализ и блокирование в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системе скрытых каналов передачи информации в  обход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реализованных мер  или  внутри  разрешенных  сетевых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протоколов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ЗИС.17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Разбиение  информационной  системы   на   сегменты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(сегментирование    информационной    системы)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обеспечение     защиты     периметров      сегментов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информационной системы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ЗИС.18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загрузки  и  исполнения  программного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обеспечения  с   машинных   носителей   персональных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данных, доступных  только  для  чтения,  и  контроль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целостности данного программного обеспечения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ЗИС.19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Изоляция   процессов   (выполнение   программ)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выделенной области памяти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ЗИС.20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беспроводных  соединений,  применяемых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информационной системе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XIV. Выявление инцидентов и реагирование на них (ИНЦ)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 лиц,   ответственных   за   выявление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инцидентов и реагирование на них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Обнаружение,    идентификация    и     регистрация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инцидентов                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Своевременное информирование лиц, ответственных за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выявление  инцидентов  и  реагирование  на  них,  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возникновении инцидентов  в  информационной  системе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пользователями и администраторами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Анализ  инцидентов,  в   том   числе   определение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источников  и  причин  возникновения  инцидентов,  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также оценка их последствий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ИНЦ.5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Принятие мер по устранению последствий инцидентов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ИНЦ.6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Планирование  и  принятие  мер  по  предотвращению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повторного возникновения инцидентов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8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XV. Управление конфигурацией информационной системы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 и системы защиты персональных данных (УКФ)                    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УКФ.1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лиц,  которым  разрешены  действия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внесению  изменений  в  конфигурацию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системы и системы защиты персональных данных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УКФ.2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изменениями конфигурации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системы и системы защиты персональных данных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УКФ.3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Анализ  потенциального   воздействия   планируемых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изменений в конфигурации  информационной  системы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системы защиты персональных  данных  на  обеспечение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защиты персональных данных и согласование  изменений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конфигурации информационной системы с  должностным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лицом  (работником),  ответственным  за  обеспечение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безопасности персональных данных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CD130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УКФ.4   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Документирование информации (данных) об изменениях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конфигурации информационной  системы   и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защиты персональных данных               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07" w:rsidRDefault="00CD13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</w:tbl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"+" - мера по обеспечению безопасности персональных данных включена в базовый набор мер для соответствующего уровня защищенности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по обеспечению безопасности персональных данных,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по обеспечению безопасности персональных данных.</w:t>
      </w: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307" w:rsidRDefault="00CD13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D37FD" w:rsidRDefault="000D37FD"/>
    <w:sectPr w:rsidR="000D37FD" w:rsidSect="002C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07"/>
    <w:rsid w:val="00007E26"/>
    <w:rsid w:val="00012684"/>
    <w:rsid w:val="00015F50"/>
    <w:rsid w:val="00067B7B"/>
    <w:rsid w:val="00086095"/>
    <w:rsid w:val="000A7332"/>
    <w:rsid w:val="000D37FD"/>
    <w:rsid w:val="000E5B8C"/>
    <w:rsid w:val="00103CBF"/>
    <w:rsid w:val="001133CF"/>
    <w:rsid w:val="00181BBC"/>
    <w:rsid w:val="001D095A"/>
    <w:rsid w:val="001E5F34"/>
    <w:rsid w:val="00216184"/>
    <w:rsid w:val="00240511"/>
    <w:rsid w:val="002436FE"/>
    <w:rsid w:val="00270E10"/>
    <w:rsid w:val="00280059"/>
    <w:rsid w:val="00294768"/>
    <w:rsid w:val="002F1008"/>
    <w:rsid w:val="00306374"/>
    <w:rsid w:val="00306518"/>
    <w:rsid w:val="003116F1"/>
    <w:rsid w:val="003200CF"/>
    <w:rsid w:val="00392A5D"/>
    <w:rsid w:val="0039621F"/>
    <w:rsid w:val="003A2A0E"/>
    <w:rsid w:val="003C6E8D"/>
    <w:rsid w:val="0044336B"/>
    <w:rsid w:val="00455E87"/>
    <w:rsid w:val="00457426"/>
    <w:rsid w:val="00473083"/>
    <w:rsid w:val="004947C8"/>
    <w:rsid w:val="004F60DE"/>
    <w:rsid w:val="005033FA"/>
    <w:rsid w:val="00505679"/>
    <w:rsid w:val="005153E8"/>
    <w:rsid w:val="0053481B"/>
    <w:rsid w:val="00536322"/>
    <w:rsid w:val="00575206"/>
    <w:rsid w:val="005A5ECB"/>
    <w:rsid w:val="005B1B90"/>
    <w:rsid w:val="005D1376"/>
    <w:rsid w:val="005E31BC"/>
    <w:rsid w:val="005F2DB9"/>
    <w:rsid w:val="00600E33"/>
    <w:rsid w:val="00614C72"/>
    <w:rsid w:val="0063068F"/>
    <w:rsid w:val="006907D0"/>
    <w:rsid w:val="006B7099"/>
    <w:rsid w:val="006C60BE"/>
    <w:rsid w:val="006C6348"/>
    <w:rsid w:val="006D0477"/>
    <w:rsid w:val="006E4E7B"/>
    <w:rsid w:val="00701BCC"/>
    <w:rsid w:val="00733E47"/>
    <w:rsid w:val="00736403"/>
    <w:rsid w:val="0076282B"/>
    <w:rsid w:val="007D21AB"/>
    <w:rsid w:val="007E187D"/>
    <w:rsid w:val="007E2631"/>
    <w:rsid w:val="008253DD"/>
    <w:rsid w:val="00841373"/>
    <w:rsid w:val="008444F9"/>
    <w:rsid w:val="008455B2"/>
    <w:rsid w:val="00851579"/>
    <w:rsid w:val="00872D1B"/>
    <w:rsid w:val="008E0B70"/>
    <w:rsid w:val="009224B6"/>
    <w:rsid w:val="009239AB"/>
    <w:rsid w:val="009319B3"/>
    <w:rsid w:val="009470D0"/>
    <w:rsid w:val="009A3A3C"/>
    <w:rsid w:val="009B3AA7"/>
    <w:rsid w:val="009F4A9E"/>
    <w:rsid w:val="00A042F5"/>
    <w:rsid w:val="00A05B06"/>
    <w:rsid w:val="00A25127"/>
    <w:rsid w:val="00A807F0"/>
    <w:rsid w:val="00AF6AF2"/>
    <w:rsid w:val="00B0261E"/>
    <w:rsid w:val="00B74838"/>
    <w:rsid w:val="00B92A62"/>
    <w:rsid w:val="00BA001C"/>
    <w:rsid w:val="00BD3557"/>
    <w:rsid w:val="00C02B0A"/>
    <w:rsid w:val="00C02FDC"/>
    <w:rsid w:val="00C11AB7"/>
    <w:rsid w:val="00C73DA1"/>
    <w:rsid w:val="00CA40C4"/>
    <w:rsid w:val="00CC5143"/>
    <w:rsid w:val="00CD1307"/>
    <w:rsid w:val="00D5645C"/>
    <w:rsid w:val="00DA1E0F"/>
    <w:rsid w:val="00DC17E2"/>
    <w:rsid w:val="00DE00A3"/>
    <w:rsid w:val="00E14C51"/>
    <w:rsid w:val="00E1785F"/>
    <w:rsid w:val="00E20FB3"/>
    <w:rsid w:val="00E27036"/>
    <w:rsid w:val="00E4397B"/>
    <w:rsid w:val="00E70430"/>
    <w:rsid w:val="00E8029E"/>
    <w:rsid w:val="00EB7F9E"/>
    <w:rsid w:val="00ED49FE"/>
    <w:rsid w:val="00ED53DB"/>
    <w:rsid w:val="00EF0C29"/>
    <w:rsid w:val="00F10A49"/>
    <w:rsid w:val="00F33512"/>
    <w:rsid w:val="00F4472E"/>
    <w:rsid w:val="00F503BF"/>
    <w:rsid w:val="00F57C96"/>
    <w:rsid w:val="00F7020A"/>
    <w:rsid w:val="00F91B6B"/>
    <w:rsid w:val="00F9246F"/>
    <w:rsid w:val="00FA77F6"/>
    <w:rsid w:val="00FC57E2"/>
    <w:rsid w:val="00FC731F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D1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D1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BADF22FA456B9C58119CDA033CEBE1FB3AE48DFBDDC9EAEA60D1700B9FCDF3984275089D3C07E467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BADF22FA456B9C58119CDA033CEBE17B0A34AD9BF8194A6FF01154077H" TargetMode="External"/><Relationship Id="rId12" Type="http://schemas.openxmlformats.org/officeDocument/2006/relationships/hyperlink" Target="consultantplus://offline/ref=90ABADF22FA456B9C58119CDA033CEBE1FB4AD4DDEB2DC9EAEA60D1700B9FCDF3984275089D3C376467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BADF22FA456B9C58119CDA033CEBE1FB5AC4CDEB3DC9EAEA60D1700B9FCDF3984275089D3C372467EH" TargetMode="External"/><Relationship Id="rId11" Type="http://schemas.openxmlformats.org/officeDocument/2006/relationships/hyperlink" Target="consultantplus://offline/ref=90ABADF22FA456B9C58119CDA033CEBE1FB3AE48D3BDDC9EAEA60D1700B9FCDF3984275089D3C2734675H" TargetMode="External"/><Relationship Id="rId5" Type="http://schemas.openxmlformats.org/officeDocument/2006/relationships/hyperlink" Target="consultantplus://offline/ref=90ABADF22FA456B9C58119CDA033CEBE1FB3AE48DFBDDC9EAEA60D1700B9FCDF3984275089D3C07E4679H" TargetMode="External"/><Relationship Id="rId10" Type="http://schemas.openxmlformats.org/officeDocument/2006/relationships/hyperlink" Target="consultantplus://offline/ref=90ABADF22FA456B9C58119CDA033CEBE1FB4AD4DDEB2DC9EAEA60D1700B9FCDF3984275089D3C376467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BADF22FA456B9C58119CDA033CEBE1FB4AD4DDEB2DC9EAEA60D1700B9FCDF3984275089D3C376467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6522</Words>
  <Characters>37180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grodin</dc:creator>
  <cp:lastModifiedBy>grodin</cp:lastModifiedBy>
  <cp:revision>1</cp:revision>
  <dcterms:created xsi:type="dcterms:W3CDTF">2013-05-27T07:59:00Z</dcterms:created>
  <dcterms:modified xsi:type="dcterms:W3CDTF">2013-05-27T08:02:00Z</dcterms:modified>
</cp:coreProperties>
</file>